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A06" w:rsidRPr="008C1ACD" w:rsidRDefault="00F62602">
      <w:pPr>
        <w:rPr>
          <w:b/>
          <w:bCs/>
          <w:u w:val="single"/>
        </w:rPr>
      </w:pPr>
      <w:r w:rsidRPr="008C1ACD">
        <w:rPr>
          <w:b/>
          <w:bCs/>
          <w:u w:val="single"/>
        </w:rPr>
        <w:t>Типичные нарушения при работе с договорами безвозмездного пользования имуществом</w:t>
      </w:r>
    </w:p>
    <w:p w:rsidR="002E6365" w:rsidRDefault="002E6365" w:rsidP="004E3FE3">
      <w:pPr>
        <w:rPr>
          <w:bCs/>
        </w:rPr>
      </w:pPr>
    </w:p>
    <w:p w:rsidR="00D7056A" w:rsidRPr="002E6365" w:rsidRDefault="0092326E" w:rsidP="002E6365">
      <w:pPr>
        <w:numPr>
          <w:ilvl w:val="0"/>
          <w:numId w:val="5"/>
        </w:numPr>
        <w:rPr>
          <w:b/>
          <w:bCs/>
        </w:rPr>
      </w:pPr>
      <w:r w:rsidRPr="002E6365">
        <w:rPr>
          <w:b/>
          <w:bCs/>
        </w:rPr>
        <w:t>Несоответствие формы заключенного договора действующему законодательству:</w:t>
      </w:r>
    </w:p>
    <w:p w:rsidR="002E6365" w:rsidRPr="002E6365" w:rsidRDefault="002E6365" w:rsidP="002E6365">
      <w:pPr>
        <w:rPr>
          <w:bCs/>
          <w:i/>
        </w:rPr>
      </w:pPr>
      <w:r w:rsidRPr="002E6365">
        <w:rPr>
          <w:bCs/>
          <w:i/>
          <w:iCs/>
        </w:rPr>
        <w:t>форма договора должна соответствовать нормам Гражданск</w:t>
      </w:r>
      <w:r w:rsidR="008C1ACD">
        <w:rPr>
          <w:bCs/>
          <w:i/>
          <w:iCs/>
        </w:rPr>
        <w:t>ого кодекса Республики Беларусь</w:t>
      </w:r>
      <w:r w:rsidRPr="002E6365">
        <w:rPr>
          <w:bCs/>
          <w:i/>
          <w:iCs/>
        </w:rPr>
        <w:t xml:space="preserve"> (рекомендуем использовать форму договора, </w:t>
      </w:r>
      <w:proofErr w:type="gramStart"/>
      <w:r w:rsidRPr="004E4FF5">
        <w:rPr>
          <w:bCs/>
          <w:i/>
          <w:iCs/>
        </w:rPr>
        <w:t>утвержденную  постановлением</w:t>
      </w:r>
      <w:proofErr w:type="gramEnd"/>
      <w:r w:rsidRPr="004E4FF5">
        <w:rPr>
          <w:bCs/>
          <w:i/>
          <w:iCs/>
        </w:rPr>
        <w:t xml:space="preserve"> Государственного комитета  по имуществу Республики Беларусь от 28.04.2008 № 32, в редакции постановления от </w:t>
      </w:r>
      <w:r w:rsidR="004E4FF5" w:rsidRPr="004E4FF5">
        <w:rPr>
          <w:bCs/>
          <w:i/>
          <w:iCs/>
        </w:rPr>
        <w:t>05</w:t>
      </w:r>
      <w:r w:rsidRPr="004E4FF5">
        <w:rPr>
          <w:bCs/>
          <w:i/>
          <w:iCs/>
        </w:rPr>
        <w:t>.</w:t>
      </w:r>
      <w:r w:rsidR="004E4FF5" w:rsidRPr="004E4FF5">
        <w:rPr>
          <w:bCs/>
          <w:i/>
          <w:iCs/>
        </w:rPr>
        <w:t>02</w:t>
      </w:r>
      <w:r w:rsidRPr="004E4FF5">
        <w:rPr>
          <w:bCs/>
          <w:i/>
          <w:iCs/>
        </w:rPr>
        <w:t>.202</w:t>
      </w:r>
      <w:r w:rsidR="004E4FF5" w:rsidRPr="004E4FF5">
        <w:rPr>
          <w:bCs/>
          <w:i/>
          <w:iCs/>
        </w:rPr>
        <w:t>5</w:t>
      </w:r>
      <w:r w:rsidRPr="004E4FF5">
        <w:rPr>
          <w:bCs/>
          <w:i/>
          <w:iCs/>
        </w:rPr>
        <w:t xml:space="preserve"> № </w:t>
      </w:r>
      <w:r w:rsidR="004E4FF5" w:rsidRPr="004E4FF5">
        <w:rPr>
          <w:bCs/>
          <w:i/>
          <w:iCs/>
        </w:rPr>
        <w:t>6</w:t>
      </w:r>
      <w:r w:rsidRPr="004E4FF5">
        <w:rPr>
          <w:bCs/>
          <w:i/>
          <w:iCs/>
        </w:rPr>
        <w:t xml:space="preserve">, приказом комитета от </w:t>
      </w:r>
      <w:r w:rsidR="004E4FF5" w:rsidRPr="004E4FF5">
        <w:rPr>
          <w:bCs/>
          <w:i/>
          <w:iCs/>
        </w:rPr>
        <w:t>12</w:t>
      </w:r>
      <w:r w:rsidRPr="004E4FF5">
        <w:rPr>
          <w:bCs/>
          <w:i/>
          <w:iCs/>
        </w:rPr>
        <w:t>.</w:t>
      </w:r>
      <w:r w:rsidR="004E4FF5" w:rsidRPr="004E4FF5">
        <w:rPr>
          <w:bCs/>
          <w:i/>
          <w:iCs/>
        </w:rPr>
        <w:t>03</w:t>
      </w:r>
      <w:r w:rsidRPr="004E4FF5">
        <w:rPr>
          <w:bCs/>
          <w:i/>
          <w:iCs/>
        </w:rPr>
        <w:t>.202</w:t>
      </w:r>
      <w:r w:rsidR="004E4FF5" w:rsidRPr="004E4FF5">
        <w:rPr>
          <w:bCs/>
          <w:i/>
          <w:iCs/>
        </w:rPr>
        <w:t>5</w:t>
      </w:r>
      <w:r w:rsidRPr="004E4FF5">
        <w:rPr>
          <w:bCs/>
          <w:i/>
          <w:iCs/>
        </w:rPr>
        <w:t xml:space="preserve"> № </w:t>
      </w:r>
      <w:r w:rsidR="004E4FF5" w:rsidRPr="004E4FF5">
        <w:rPr>
          <w:bCs/>
          <w:i/>
          <w:iCs/>
        </w:rPr>
        <w:t>01-02/31</w:t>
      </w:r>
      <w:r w:rsidRPr="004E4FF5">
        <w:rPr>
          <w:bCs/>
          <w:i/>
          <w:iCs/>
        </w:rPr>
        <w:t xml:space="preserve"> и соответствующими решениями </w:t>
      </w:r>
      <w:proofErr w:type="spellStart"/>
      <w:r w:rsidRPr="004E4FF5">
        <w:rPr>
          <w:bCs/>
          <w:i/>
          <w:iCs/>
        </w:rPr>
        <w:t>горрайисполкомов</w:t>
      </w:r>
      <w:proofErr w:type="spellEnd"/>
      <w:r w:rsidRPr="004E4FF5">
        <w:rPr>
          <w:bCs/>
          <w:i/>
          <w:iCs/>
        </w:rPr>
        <w:t>).</w:t>
      </w:r>
    </w:p>
    <w:p w:rsidR="00D7056A" w:rsidRPr="002E6365" w:rsidRDefault="0092326E" w:rsidP="002E6365">
      <w:pPr>
        <w:numPr>
          <w:ilvl w:val="0"/>
          <w:numId w:val="6"/>
        </w:numPr>
        <w:rPr>
          <w:b/>
          <w:bCs/>
        </w:rPr>
      </w:pPr>
      <w:r w:rsidRPr="002E6365">
        <w:rPr>
          <w:b/>
          <w:bCs/>
        </w:rPr>
        <w:t>Необеспечение сохранности имущества, неиспользование имущества, использование его не по назначению:</w:t>
      </w:r>
    </w:p>
    <w:p w:rsidR="002E6365" w:rsidRPr="002E6365" w:rsidRDefault="002E6365" w:rsidP="002E6365">
      <w:pPr>
        <w:rPr>
          <w:bCs/>
        </w:rPr>
      </w:pPr>
      <w:r w:rsidRPr="002E6365">
        <w:rPr>
          <w:bCs/>
          <w:i/>
          <w:iCs/>
        </w:rPr>
        <w:t>согласно Гражданскому кодексу Республики Беларусь ссудополучатель обязан пользоваться переданным имуществом в соответствии с условиями договора, а если такие условия в договоре не определены, – в соответствии с назначением имущества.</w:t>
      </w:r>
    </w:p>
    <w:p w:rsidR="00D7056A" w:rsidRPr="002E6365" w:rsidRDefault="0092326E" w:rsidP="002E6365">
      <w:pPr>
        <w:numPr>
          <w:ilvl w:val="0"/>
          <w:numId w:val="7"/>
        </w:numPr>
        <w:rPr>
          <w:bCs/>
        </w:rPr>
      </w:pPr>
      <w:r w:rsidRPr="002E6365">
        <w:rPr>
          <w:b/>
          <w:bCs/>
        </w:rPr>
        <w:t>Неправомерная регистрация права частной собственности на государственное имущество, отсутствие государственной регистрации на объекты недвижимости:</w:t>
      </w:r>
    </w:p>
    <w:p w:rsidR="002E6365" w:rsidRPr="002E6365" w:rsidRDefault="002E6365" w:rsidP="002E6365">
      <w:pPr>
        <w:rPr>
          <w:bCs/>
        </w:rPr>
      </w:pPr>
      <w:r w:rsidRPr="002E6365">
        <w:rPr>
          <w:bCs/>
          <w:i/>
          <w:iCs/>
        </w:rPr>
        <w:t>право собственности должно быть зарегистрировано за Гомельской областью или соответствующей административно-территориальной единицей.</w:t>
      </w:r>
    </w:p>
    <w:p w:rsidR="00D7056A" w:rsidRPr="002E6365" w:rsidRDefault="0092326E" w:rsidP="002E6365">
      <w:pPr>
        <w:numPr>
          <w:ilvl w:val="0"/>
          <w:numId w:val="8"/>
        </w:numPr>
        <w:rPr>
          <w:bCs/>
        </w:rPr>
      </w:pPr>
      <w:r w:rsidRPr="002E6365">
        <w:rPr>
          <w:b/>
          <w:bCs/>
        </w:rPr>
        <w:t>Неправомерное распоряжение имуществом:</w:t>
      </w:r>
    </w:p>
    <w:p w:rsidR="002E6365" w:rsidRPr="002E6365" w:rsidRDefault="002E6365" w:rsidP="002E6365">
      <w:pPr>
        <w:rPr>
          <w:bCs/>
        </w:rPr>
      </w:pPr>
      <w:r w:rsidRPr="002E6365">
        <w:rPr>
          <w:bCs/>
          <w:i/>
          <w:iCs/>
          <w:u w:val="single"/>
        </w:rPr>
        <w:t>для собственности Гомельской области</w:t>
      </w:r>
      <w:r w:rsidRPr="002E6365">
        <w:rPr>
          <w:bCs/>
          <w:i/>
          <w:iCs/>
        </w:rPr>
        <w:t xml:space="preserve">: </w:t>
      </w:r>
    </w:p>
    <w:p w:rsidR="00D7056A" w:rsidRPr="002E6365" w:rsidRDefault="0092326E" w:rsidP="002E6365">
      <w:pPr>
        <w:rPr>
          <w:bCs/>
        </w:rPr>
      </w:pPr>
      <w:r w:rsidRPr="002E6365">
        <w:rPr>
          <w:bCs/>
          <w:i/>
          <w:iCs/>
        </w:rPr>
        <w:t>решения Гомельского областного Совета депутатов от 03.02.2023 № 433 «Об управлении и распоряжении имуществом», от 27.12.2019 № 159 «О списании имущества, находящегося в собственности Гомельской области»;</w:t>
      </w:r>
    </w:p>
    <w:p w:rsidR="002E6365" w:rsidRPr="002E6365" w:rsidRDefault="002E6365" w:rsidP="002E6365">
      <w:pPr>
        <w:rPr>
          <w:bCs/>
        </w:rPr>
      </w:pPr>
      <w:r w:rsidRPr="002E6365">
        <w:rPr>
          <w:bCs/>
          <w:i/>
          <w:iCs/>
          <w:u w:val="single"/>
        </w:rPr>
        <w:t>для городской и районной собственности</w:t>
      </w:r>
      <w:r w:rsidRPr="002E6365">
        <w:rPr>
          <w:bCs/>
          <w:i/>
          <w:iCs/>
        </w:rPr>
        <w:t xml:space="preserve">: </w:t>
      </w:r>
    </w:p>
    <w:p w:rsidR="00D7056A" w:rsidRPr="002E6365" w:rsidRDefault="0092326E" w:rsidP="002E6365">
      <w:pPr>
        <w:rPr>
          <w:bCs/>
        </w:rPr>
      </w:pPr>
      <w:r w:rsidRPr="002E6365">
        <w:rPr>
          <w:bCs/>
          <w:i/>
          <w:iCs/>
        </w:rPr>
        <w:t>порядок управления и распоряжения имуществом, списания имущества установлен соответствующими решениями местных Советов депутатов;</w:t>
      </w:r>
    </w:p>
    <w:p w:rsidR="002E6365" w:rsidRPr="002E6365" w:rsidRDefault="002E6365" w:rsidP="002E6365">
      <w:pPr>
        <w:rPr>
          <w:bCs/>
        </w:rPr>
      </w:pPr>
      <w:r w:rsidRPr="002E6365">
        <w:rPr>
          <w:bCs/>
          <w:i/>
          <w:iCs/>
          <w:u w:val="single"/>
        </w:rPr>
        <w:t>сдача в аренду имущества регулируются:</w:t>
      </w:r>
    </w:p>
    <w:p w:rsidR="00D7056A" w:rsidRPr="002E6365" w:rsidRDefault="0092326E" w:rsidP="002E6365">
      <w:pPr>
        <w:rPr>
          <w:bCs/>
        </w:rPr>
      </w:pPr>
      <w:r w:rsidRPr="002E6365">
        <w:rPr>
          <w:bCs/>
          <w:i/>
          <w:iCs/>
        </w:rPr>
        <w:t xml:space="preserve">Указом Президента Республики Беларусь </w:t>
      </w:r>
      <w:r w:rsidR="005E72B8" w:rsidRPr="002E6365">
        <w:rPr>
          <w:bCs/>
          <w:i/>
          <w:iCs/>
        </w:rPr>
        <w:t xml:space="preserve">от 16.05.2023 №138 </w:t>
      </w:r>
      <w:r w:rsidRPr="002E6365">
        <w:rPr>
          <w:bCs/>
          <w:i/>
          <w:iCs/>
        </w:rPr>
        <w:t>«О</w:t>
      </w:r>
      <w:r w:rsidR="005E72B8">
        <w:rPr>
          <w:bCs/>
          <w:i/>
          <w:iCs/>
        </w:rPr>
        <w:t xml:space="preserve">б </w:t>
      </w:r>
      <w:r w:rsidRPr="002E6365">
        <w:rPr>
          <w:bCs/>
          <w:i/>
          <w:iCs/>
        </w:rPr>
        <w:t>аренд</w:t>
      </w:r>
      <w:r w:rsidR="005E72B8">
        <w:rPr>
          <w:bCs/>
          <w:i/>
          <w:iCs/>
        </w:rPr>
        <w:t>е</w:t>
      </w:r>
      <w:r w:rsidRPr="002E6365">
        <w:rPr>
          <w:bCs/>
          <w:i/>
          <w:iCs/>
        </w:rPr>
        <w:t xml:space="preserve"> и безвозмездно</w:t>
      </w:r>
      <w:r w:rsidR="005E72B8">
        <w:rPr>
          <w:bCs/>
          <w:i/>
          <w:iCs/>
        </w:rPr>
        <w:t>м</w:t>
      </w:r>
      <w:r w:rsidRPr="002E6365">
        <w:rPr>
          <w:bCs/>
          <w:i/>
          <w:iCs/>
        </w:rPr>
        <w:t xml:space="preserve"> пользовани</w:t>
      </w:r>
      <w:r w:rsidR="005E72B8">
        <w:rPr>
          <w:bCs/>
          <w:i/>
          <w:iCs/>
        </w:rPr>
        <w:t>и</w:t>
      </w:r>
      <w:r w:rsidRPr="002E6365">
        <w:rPr>
          <w:bCs/>
          <w:i/>
          <w:iCs/>
        </w:rPr>
        <w:t xml:space="preserve"> имуществом»</w:t>
      </w:r>
      <w:r w:rsidR="005E72B8">
        <w:rPr>
          <w:bCs/>
          <w:i/>
          <w:iCs/>
        </w:rPr>
        <w:t>.</w:t>
      </w:r>
      <w:r w:rsidRPr="002E6365">
        <w:rPr>
          <w:bCs/>
          <w:i/>
          <w:iCs/>
        </w:rPr>
        <w:t xml:space="preserve"> </w:t>
      </w:r>
    </w:p>
    <w:p w:rsidR="00D7056A" w:rsidRPr="002E6365" w:rsidRDefault="0092326E" w:rsidP="002E6365">
      <w:pPr>
        <w:numPr>
          <w:ilvl w:val="0"/>
          <w:numId w:val="12"/>
        </w:numPr>
        <w:rPr>
          <w:bCs/>
        </w:rPr>
      </w:pPr>
      <w:r w:rsidRPr="002E6365">
        <w:rPr>
          <w:b/>
          <w:bCs/>
        </w:rPr>
        <w:t>Нарушение порядка распоряжения жилищным фондом, переданным по договору:</w:t>
      </w:r>
    </w:p>
    <w:p w:rsidR="002E6365" w:rsidRPr="002E6365" w:rsidRDefault="002E6365" w:rsidP="002E6365">
      <w:pPr>
        <w:rPr>
          <w:bCs/>
        </w:rPr>
      </w:pPr>
      <w:r w:rsidRPr="002E6365">
        <w:rPr>
          <w:bCs/>
          <w:i/>
          <w:iCs/>
        </w:rPr>
        <w:t xml:space="preserve">распоряжение жилищным фондом осуществляется в соответствии с Указом Президента Республики Беларусь от 13.06.2018 N 237 «О распоряжении государственным жилищным фондом» (в редакции Указов от 07.04.2020 N 121, от 24.03.2021 N 116) и </w:t>
      </w:r>
      <w:r w:rsidRPr="002E6365">
        <w:rPr>
          <w:bCs/>
          <w:i/>
          <w:iCs/>
        </w:rPr>
        <w:lastRenderedPageBreak/>
        <w:t>осуществляется по решению государственных органов, с которыми заключены договоры.</w:t>
      </w:r>
    </w:p>
    <w:p w:rsidR="00D7056A" w:rsidRPr="002E6365" w:rsidRDefault="0092326E" w:rsidP="002E6365">
      <w:pPr>
        <w:numPr>
          <w:ilvl w:val="0"/>
          <w:numId w:val="13"/>
        </w:numPr>
        <w:rPr>
          <w:bCs/>
        </w:rPr>
      </w:pPr>
      <w:r w:rsidRPr="002E6365">
        <w:rPr>
          <w:b/>
          <w:bCs/>
        </w:rPr>
        <w:t>Несвоевременное внесение изменений (дополнений) в договор при изменении состава имущества или продлении сроков действия:</w:t>
      </w:r>
    </w:p>
    <w:p w:rsidR="002E6365" w:rsidRPr="002E6365" w:rsidRDefault="002E6365" w:rsidP="002E6365">
      <w:pPr>
        <w:rPr>
          <w:bCs/>
        </w:rPr>
      </w:pPr>
      <w:r w:rsidRPr="002E6365">
        <w:rPr>
          <w:bCs/>
          <w:i/>
          <w:iCs/>
        </w:rPr>
        <w:t>ссудополучатель обязан в течение 15 календарных дней с даты изменения состава имущества представить ссудодателю для подписания дополнительное соглашение о внесении изменений в договор;</w:t>
      </w:r>
    </w:p>
    <w:p w:rsidR="002E6365" w:rsidRPr="002E6365" w:rsidRDefault="002E6365" w:rsidP="002E6365">
      <w:pPr>
        <w:rPr>
          <w:bCs/>
        </w:rPr>
      </w:pPr>
      <w:r w:rsidRPr="002E6365">
        <w:rPr>
          <w:bCs/>
          <w:i/>
          <w:iCs/>
        </w:rPr>
        <w:t>стороны договора, обязаны отслеживать установленный срок действия договора и своевременно вносить изменения.</w:t>
      </w:r>
    </w:p>
    <w:p w:rsidR="000E13D1" w:rsidRPr="002E6365" w:rsidRDefault="000E13D1" w:rsidP="000E13D1">
      <w:pPr>
        <w:numPr>
          <w:ilvl w:val="0"/>
          <w:numId w:val="14"/>
        </w:numPr>
        <w:rPr>
          <w:bCs/>
        </w:rPr>
      </w:pPr>
      <w:r w:rsidRPr="002E6365">
        <w:rPr>
          <w:b/>
          <w:bCs/>
        </w:rPr>
        <w:t>Нев</w:t>
      </w:r>
      <w:r w:rsidR="00F87CBB">
        <w:rPr>
          <w:b/>
          <w:bCs/>
        </w:rPr>
        <w:t xml:space="preserve">несение полных и достоверных сведений об имуществе </w:t>
      </w:r>
      <w:r w:rsidRPr="002E6365">
        <w:rPr>
          <w:b/>
          <w:bCs/>
        </w:rPr>
        <w:t>в перечне к договору:</w:t>
      </w:r>
    </w:p>
    <w:p w:rsidR="000E13D1" w:rsidRPr="002E6365" w:rsidRDefault="000E13D1" w:rsidP="000E13D1">
      <w:pPr>
        <w:rPr>
          <w:bCs/>
        </w:rPr>
      </w:pPr>
      <w:r w:rsidRPr="002E6365">
        <w:rPr>
          <w:bCs/>
          <w:i/>
          <w:iCs/>
        </w:rPr>
        <w:t xml:space="preserve">данные </w:t>
      </w:r>
      <w:r w:rsidR="00F87CBB">
        <w:rPr>
          <w:bCs/>
          <w:i/>
          <w:iCs/>
        </w:rPr>
        <w:t>об инвентарных номерах по бухгалтерскому учету, согласно ЕГРНИ и согласно ЕРИ</w:t>
      </w:r>
      <w:r w:rsidRPr="002E6365">
        <w:rPr>
          <w:bCs/>
          <w:i/>
          <w:iCs/>
        </w:rPr>
        <w:t xml:space="preserve">, </w:t>
      </w:r>
      <w:r w:rsidR="00F87CBB">
        <w:rPr>
          <w:bCs/>
          <w:i/>
          <w:iCs/>
        </w:rPr>
        <w:t xml:space="preserve">указываемые </w:t>
      </w:r>
      <w:r w:rsidRPr="002E6365">
        <w:rPr>
          <w:bCs/>
          <w:i/>
          <w:iCs/>
        </w:rPr>
        <w:t xml:space="preserve">в </w:t>
      </w:r>
      <w:r w:rsidR="00F87CBB">
        <w:rPr>
          <w:bCs/>
          <w:i/>
          <w:iCs/>
        </w:rPr>
        <w:t>«</w:t>
      </w:r>
      <w:r w:rsidRPr="002E6365">
        <w:rPr>
          <w:bCs/>
          <w:i/>
          <w:iCs/>
        </w:rPr>
        <w:t>Перечне имущества, передаваемого в безвозмездное пользование»</w:t>
      </w:r>
      <w:r w:rsidR="00F87CBB">
        <w:rPr>
          <w:bCs/>
          <w:i/>
          <w:iCs/>
        </w:rPr>
        <w:t xml:space="preserve"> должны соответствовать сведениям бухгалтерского учета, </w:t>
      </w:r>
      <w:r w:rsidR="00F87CBB">
        <w:rPr>
          <w:bCs/>
          <w:i/>
          <w:iCs/>
        </w:rPr>
        <w:t>ЕГРНИ</w:t>
      </w:r>
      <w:r w:rsidR="00F87CBB">
        <w:rPr>
          <w:bCs/>
          <w:i/>
          <w:iCs/>
        </w:rPr>
        <w:t xml:space="preserve"> и ЕРИ</w:t>
      </w:r>
      <w:r w:rsidRPr="002E6365">
        <w:rPr>
          <w:bCs/>
          <w:i/>
          <w:iCs/>
        </w:rPr>
        <w:t>.</w:t>
      </w:r>
    </w:p>
    <w:p w:rsidR="002E6365" w:rsidRPr="002E6365" w:rsidRDefault="002E6365" w:rsidP="002E6365">
      <w:pPr>
        <w:rPr>
          <w:b/>
          <w:bCs/>
        </w:rPr>
      </w:pPr>
      <w:r w:rsidRPr="002E6365">
        <w:rPr>
          <w:b/>
          <w:bCs/>
        </w:rPr>
        <w:t>Перечень нормативных правовых актов, регламентирующих работу с договорами безвозмездного пользования имуществом:</w:t>
      </w:r>
    </w:p>
    <w:p w:rsidR="002E6365" w:rsidRPr="004E3FE3" w:rsidRDefault="002E6365" w:rsidP="002E6365">
      <w:r>
        <w:rPr>
          <w:bCs/>
        </w:rPr>
        <w:t>Гражданский</w:t>
      </w:r>
      <w:r w:rsidRPr="004E3FE3">
        <w:rPr>
          <w:bCs/>
        </w:rPr>
        <w:t xml:space="preserve"> кодекс Республики Беларусь; </w:t>
      </w:r>
    </w:p>
    <w:p w:rsidR="002E6365" w:rsidRPr="004E3FE3" w:rsidRDefault="002E6365" w:rsidP="002E6365">
      <w:r>
        <w:rPr>
          <w:bCs/>
        </w:rPr>
        <w:t>Закон</w:t>
      </w:r>
      <w:r w:rsidRPr="004E3FE3">
        <w:rPr>
          <w:bCs/>
        </w:rPr>
        <w:t xml:space="preserve"> Республики Беларусь от 19.01.1993 № 2103-XІІ </w:t>
      </w:r>
      <w:r w:rsidRPr="004E3FE3">
        <w:t>«О приватизации государственного имущества и преобразовании государственных унитарных предприятий в открытые акционерные общества»;</w:t>
      </w:r>
    </w:p>
    <w:p w:rsidR="002E6365" w:rsidRPr="004E3FE3" w:rsidRDefault="002E6365" w:rsidP="002E6365">
      <w:r>
        <w:rPr>
          <w:bCs/>
        </w:rPr>
        <w:t>Закон</w:t>
      </w:r>
      <w:r w:rsidRPr="004E3FE3">
        <w:rPr>
          <w:bCs/>
        </w:rPr>
        <w:t xml:space="preserve"> Республики Бе</w:t>
      </w:r>
      <w:bookmarkStart w:id="0" w:name="_GoBack"/>
      <w:bookmarkEnd w:id="0"/>
      <w:r w:rsidRPr="004E3FE3">
        <w:rPr>
          <w:bCs/>
        </w:rPr>
        <w:t xml:space="preserve">ларусь от 15.07.2010 № 169-З </w:t>
      </w:r>
      <w:r w:rsidRPr="004E3FE3">
        <w:t>«Об объектах, находящихся только в собственности государства, и видах деятельности, на осуществление которых распространяется ис</w:t>
      </w:r>
      <w:r>
        <w:t>ключительное право государства»;</w:t>
      </w:r>
    </w:p>
    <w:p w:rsidR="002E6365" w:rsidRPr="004E3FE3" w:rsidRDefault="002E6365" w:rsidP="002E6365">
      <w:r w:rsidRPr="004E4FF5">
        <w:rPr>
          <w:bCs/>
        </w:rPr>
        <w:t xml:space="preserve">Постановление Государственного комитета по имуществу Республики Беларусь от 28.04.2008 № 32 в редакции постановления </w:t>
      </w:r>
      <w:r w:rsidR="004E4FF5" w:rsidRPr="004E4FF5">
        <w:rPr>
          <w:bCs/>
          <w:iCs/>
        </w:rPr>
        <w:t>от 05.02.2025 № 6</w:t>
      </w:r>
      <w:r w:rsidRPr="004E4FF5">
        <w:rPr>
          <w:bCs/>
        </w:rPr>
        <w:t xml:space="preserve"> </w:t>
      </w:r>
      <w:r w:rsidRPr="004E4FF5">
        <w:t xml:space="preserve">утверждена новая форма договора безвозмездного пользования имуществом, находящимся в собственности </w:t>
      </w:r>
      <w:r w:rsidRPr="004E4FF5">
        <w:rPr>
          <w:bCs/>
        </w:rPr>
        <w:t>Республики Беларусь.</w:t>
      </w:r>
      <w:r w:rsidRPr="004E4FF5">
        <w:rPr>
          <w:i/>
          <w:iCs/>
        </w:rPr>
        <w:t xml:space="preserve"> </w:t>
      </w:r>
      <w:r w:rsidRPr="004E4FF5">
        <w:t xml:space="preserve">Для имущества, находящегося в собственности </w:t>
      </w:r>
      <w:r w:rsidRPr="004E4FF5">
        <w:rPr>
          <w:bCs/>
        </w:rPr>
        <w:t>Гомельской области</w:t>
      </w:r>
      <w:r w:rsidRPr="004E4FF5">
        <w:t>, новая форма установлена приказом комитета «</w:t>
      </w:r>
      <w:proofErr w:type="spellStart"/>
      <w:r w:rsidRPr="004E4FF5">
        <w:t>Гомельоблимущество</w:t>
      </w:r>
      <w:proofErr w:type="spellEnd"/>
      <w:r w:rsidRPr="004E4FF5">
        <w:t xml:space="preserve">» </w:t>
      </w:r>
      <w:r w:rsidR="004E4FF5" w:rsidRPr="004E4FF5">
        <w:rPr>
          <w:bCs/>
          <w:iCs/>
        </w:rPr>
        <w:t>от 12.03.2025 № 01-02/31</w:t>
      </w:r>
      <w:r w:rsidRPr="004E4FF5">
        <w:t>,</w:t>
      </w:r>
      <w:r w:rsidRPr="004E4FF5">
        <w:t xml:space="preserve"> аналогичные формы договоров установлены решениями </w:t>
      </w:r>
      <w:proofErr w:type="spellStart"/>
      <w:r w:rsidRPr="004E4FF5">
        <w:rPr>
          <w:bCs/>
        </w:rPr>
        <w:t>горрайисполкомов</w:t>
      </w:r>
      <w:proofErr w:type="spellEnd"/>
      <w:r w:rsidRPr="004E4FF5">
        <w:t>.</w:t>
      </w:r>
      <w:r w:rsidRPr="004E3FE3">
        <w:rPr>
          <w:bCs/>
          <w:u w:val="single"/>
        </w:rPr>
        <w:t xml:space="preserve"> </w:t>
      </w:r>
    </w:p>
    <w:p w:rsidR="002E6365" w:rsidRPr="002E6365" w:rsidRDefault="002E6365" w:rsidP="002E6365">
      <w:pPr>
        <w:rPr>
          <w:b/>
        </w:rPr>
      </w:pPr>
      <w:r w:rsidRPr="002E6365">
        <w:rPr>
          <w:b/>
          <w:bCs/>
        </w:rPr>
        <w:t>Учет договоров осуществляется в соответствии с:</w:t>
      </w:r>
    </w:p>
    <w:p w:rsidR="0092326E" w:rsidRPr="002E6365" w:rsidRDefault="002E6365" w:rsidP="00302585">
      <w:r w:rsidRPr="002E6365">
        <w:rPr>
          <w:bCs/>
        </w:rPr>
        <w:t xml:space="preserve">Указом Президента Республики Беларусь от 18.05.2020 № </w:t>
      </w:r>
      <w:proofErr w:type="gramStart"/>
      <w:r w:rsidRPr="002E6365">
        <w:rPr>
          <w:bCs/>
        </w:rPr>
        <w:t xml:space="preserve">168  </w:t>
      </w:r>
      <w:r w:rsidRPr="002E6365">
        <w:t>«</w:t>
      </w:r>
      <w:proofErr w:type="gramEnd"/>
      <w:r w:rsidRPr="002E6365">
        <w:t>О Едином реестре имущества» и  п</w:t>
      </w:r>
      <w:r w:rsidRPr="002E6365">
        <w:rPr>
          <w:bCs/>
        </w:rPr>
        <w:t xml:space="preserve">остановлением Совета Министров Республики Беларусь от 20.11.2020 № 667 </w:t>
      </w:r>
      <w:r w:rsidRPr="002E6365">
        <w:t>«О мерах по реализации Указа Президента Республики Беларусь от 18.05.2020 № 168».</w:t>
      </w:r>
    </w:p>
    <w:sectPr w:rsidR="0092326E" w:rsidRPr="002E6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A50"/>
    <w:multiLevelType w:val="hybridMultilevel"/>
    <w:tmpl w:val="4EE419D2"/>
    <w:lvl w:ilvl="0" w:tplc="D7AC64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8463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7A14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CCFB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6C94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547E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369F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8236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2429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63763E"/>
    <w:multiLevelType w:val="hybridMultilevel"/>
    <w:tmpl w:val="D250FB26"/>
    <w:lvl w:ilvl="0" w:tplc="AEA6B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0CDA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340E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F8A0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86A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048F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588F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EA62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14F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81258F"/>
    <w:multiLevelType w:val="hybridMultilevel"/>
    <w:tmpl w:val="3CC22C02"/>
    <w:lvl w:ilvl="0" w:tplc="C3344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FEAB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5CFA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1437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A04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02AE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F23F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56C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969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6087796"/>
    <w:multiLevelType w:val="hybridMultilevel"/>
    <w:tmpl w:val="2A86D9D4"/>
    <w:lvl w:ilvl="0" w:tplc="3D126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D81E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10BE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5CD1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0048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C063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0825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0C6C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563A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D603316"/>
    <w:multiLevelType w:val="hybridMultilevel"/>
    <w:tmpl w:val="18980202"/>
    <w:lvl w:ilvl="0" w:tplc="54269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6ECC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0AF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F88D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AAFB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4616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4C53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A076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A4DB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09A6D37"/>
    <w:multiLevelType w:val="hybridMultilevel"/>
    <w:tmpl w:val="49E2E7A4"/>
    <w:lvl w:ilvl="0" w:tplc="2DA8D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8286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F80A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264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5E5B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7AE1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CC18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6C93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1C7C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6803173"/>
    <w:multiLevelType w:val="hybridMultilevel"/>
    <w:tmpl w:val="6C2C5262"/>
    <w:lvl w:ilvl="0" w:tplc="EDCAE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0240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303D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14B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44DF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96B2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D241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009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E2AA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58242E2"/>
    <w:multiLevelType w:val="hybridMultilevel"/>
    <w:tmpl w:val="30687C16"/>
    <w:lvl w:ilvl="0" w:tplc="EC4A7D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BE4F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161B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8EE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4414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0E5E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D8C6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96A5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3AA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84D7835"/>
    <w:multiLevelType w:val="hybridMultilevel"/>
    <w:tmpl w:val="D6588782"/>
    <w:lvl w:ilvl="0" w:tplc="F5649B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2877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CAD1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AAD1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4277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C60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DA41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448C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FEAF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F455029"/>
    <w:multiLevelType w:val="hybridMultilevel"/>
    <w:tmpl w:val="D6FAD4E0"/>
    <w:lvl w:ilvl="0" w:tplc="4718B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34A7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3EEF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4E4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82F3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5446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FEC3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D63C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E862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EAE0106"/>
    <w:multiLevelType w:val="hybridMultilevel"/>
    <w:tmpl w:val="C1A09570"/>
    <w:lvl w:ilvl="0" w:tplc="616AB0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307F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BCEA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BE2A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980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F06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10C0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A2FA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2421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FBE4428"/>
    <w:multiLevelType w:val="hybridMultilevel"/>
    <w:tmpl w:val="EF145FAE"/>
    <w:lvl w:ilvl="0" w:tplc="17B87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4875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EC5D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66B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2AE1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88DA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5813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440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1A83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2E94AEF"/>
    <w:multiLevelType w:val="hybridMultilevel"/>
    <w:tmpl w:val="F17239C8"/>
    <w:lvl w:ilvl="0" w:tplc="1BECB5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90D2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D4A8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A41C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26D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067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30B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7E0C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2E0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0FA72B4"/>
    <w:multiLevelType w:val="hybridMultilevel"/>
    <w:tmpl w:val="44C21F6A"/>
    <w:lvl w:ilvl="0" w:tplc="8F342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EEA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C37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F2EC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3A26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40C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DE34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4AE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A6D2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CD254B1"/>
    <w:multiLevelType w:val="hybridMultilevel"/>
    <w:tmpl w:val="A408503C"/>
    <w:lvl w:ilvl="0" w:tplc="7A6036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14ED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10D7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C83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B0D9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F276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14F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7CFC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202A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3"/>
  </w:num>
  <w:num w:numId="5">
    <w:abstractNumId w:val="5"/>
  </w:num>
  <w:num w:numId="6">
    <w:abstractNumId w:val="10"/>
  </w:num>
  <w:num w:numId="7">
    <w:abstractNumId w:val="8"/>
  </w:num>
  <w:num w:numId="8">
    <w:abstractNumId w:val="12"/>
  </w:num>
  <w:num w:numId="9">
    <w:abstractNumId w:val="9"/>
  </w:num>
  <w:num w:numId="10">
    <w:abstractNumId w:val="7"/>
  </w:num>
  <w:num w:numId="11">
    <w:abstractNumId w:val="14"/>
  </w:num>
  <w:num w:numId="12">
    <w:abstractNumId w:val="6"/>
  </w:num>
  <w:num w:numId="13">
    <w:abstractNumId w:val="0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602"/>
    <w:rsid w:val="000E13D1"/>
    <w:rsid w:val="002E6365"/>
    <w:rsid w:val="00302585"/>
    <w:rsid w:val="004E3FE3"/>
    <w:rsid w:val="004E4FF5"/>
    <w:rsid w:val="005E72B8"/>
    <w:rsid w:val="006A731D"/>
    <w:rsid w:val="008C1ACD"/>
    <w:rsid w:val="0092326E"/>
    <w:rsid w:val="00B22A06"/>
    <w:rsid w:val="00D7056A"/>
    <w:rsid w:val="00F62602"/>
    <w:rsid w:val="00F8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31F8E"/>
  <w15:chartTrackingRefBased/>
  <w15:docId w15:val="{4117FEB1-33B6-4934-B485-E44F69CD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3FE3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0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8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6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154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4494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3406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6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7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06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46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6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7425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703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043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70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261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923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Вабищевич Зоя Николаевна</dc:creator>
  <cp:keywords/>
  <dc:description/>
  <cp:lastModifiedBy>Хлебцов Руслан Константинович</cp:lastModifiedBy>
  <cp:revision>4</cp:revision>
  <cp:lastPrinted>2025-10-17T12:38:00Z</cp:lastPrinted>
  <dcterms:created xsi:type="dcterms:W3CDTF">2025-10-17T12:33:00Z</dcterms:created>
  <dcterms:modified xsi:type="dcterms:W3CDTF">2025-10-17T12:46:00Z</dcterms:modified>
</cp:coreProperties>
</file>