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4E" w:rsidRDefault="00C2214E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C2214E" w:rsidRDefault="00C2214E">
      <w:pPr>
        <w:pStyle w:val="newncpi"/>
        <w:ind w:firstLine="0"/>
        <w:jc w:val="center"/>
      </w:pPr>
      <w:r>
        <w:rPr>
          <w:rStyle w:val="datepr"/>
        </w:rPr>
        <w:t>12 декабря 2013 г.</w:t>
      </w:r>
      <w:r>
        <w:rPr>
          <w:rStyle w:val="number"/>
        </w:rPr>
        <w:t xml:space="preserve"> № 94-З</w:t>
      </w:r>
    </w:p>
    <w:p w:rsidR="00C2214E" w:rsidRDefault="00C2214E" w:rsidP="001C1437">
      <w:pPr>
        <w:pStyle w:val="title"/>
        <w:ind w:right="-962"/>
      </w:pPr>
      <w:r>
        <w:t>О противодействии монополистической деятельности и развитии конкуренции</w:t>
      </w:r>
    </w:p>
    <w:p w:rsidR="00C2214E" w:rsidRDefault="00C2214E">
      <w:pPr>
        <w:pStyle w:val="prinodobren"/>
      </w:pPr>
      <w:r>
        <w:t>Принят Палатой представителей 22 ноября 2013 года</w:t>
      </w:r>
      <w:r>
        <w:br/>
        <w:t>Одобрен Советом Республики 27 ноября 2013 года</w:t>
      </w:r>
    </w:p>
    <w:p w:rsidR="00C2214E" w:rsidRDefault="00C2214E">
      <w:pPr>
        <w:pStyle w:val="changei"/>
      </w:pPr>
      <w:r>
        <w:t>Изменения и дополнения:</w:t>
      </w:r>
    </w:p>
    <w:p w:rsidR="00C2214E" w:rsidRDefault="00C2214E">
      <w:pPr>
        <w:pStyle w:val="changeadd"/>
      </w:pPr>
      <w:r>
        <w:t>Закон Республики Беларусь от 8 января 2018 г. № 98-З (Национальный правовой Интернет-портал Республики Беларусь, 02.02.2018, 2/2536) – новая редакция &lt;</w:t>
      </w:r>
      <w:proofErr w:type="spellStart"/>
      <w:r>
        <w:t>H11800098</w:t>
      </w:r>
      <w:proofErr w:type="spellEnd"/>
      <w:r>
        <w:t xml:space="preserve">&gt; </w:t>
      </w:r>
    </w:p>
    <w:p w:rsidR="00C2214E" w:rsidRDefault="00C2214E">
      <w:pPr>
        <w:pStyle w:val="newncpi"/>
      </w:pPr>
      <w:r>
        <w:t> </w:t>
      </w:r>
    </w:p>
    <w:p w:rsidR="00C2214E" w:rsidRDefault="00C2214E">
      <w:pPr>
        <w:pStyle w:val="newncpi"/>
      </w:pPr>
      <w:r>
        <w:t>Настоящий Закон определяет организационные и правовые основы противодействия монополистической деятельности и недобросовестной конкуренции и направлен на обеспечение условий для развития конкуренции, создания и эффективного функционирования товарных рынков.</w:t>
      </w:r>
    </w:p>
    <w:p w:rsidR="00C2214E" w:rsidRDefault="00C2214E">
      <w:pPr>
        <w:pStyle w:val="chapter"/>
      </w:pPr>
      <w:r>
        <w:t>ГЛАВА 5</w:t>
      </w:r>
      <w:r>
        <w:br/>
        <w:t>ТРЕБОВАНИЯ К ЭКОНОМИЧЕСКОЙ КОНЦЕНТРАЦИИ, РЕОРГАНИЗАЦИИ ХОЗЯЙСТВУЮЩИХ СУБЪЕКТОВ, ЗАНИМАЮЩИХ ДОМИНИРУЮЩЕЕ ПОЛОЖЕНИЕ</w:t>
      </w:r>
    </w:p>
    <w:p w:rsidR="00C2214E" w:rsidRDefault="00C2214E">
      <w:pPr>
        <w:pStyle w:val="article"/>
      </w:pPr>
      <w:r>
        <w:t>Статья 32. Экономическая концентрация</w:t>
      </w:r>
    </w:p>
    <w:p w:rsidR="00C2214E" w:rsidRDefault="00C2214E">
      <w:pPr>
        <w:pStyle w:val="point"/>
      </w:pPr>
      <w:r>
        <w:t>1. Экономической концентрацией признаются:</w:t>
      </w:r>
    </w:p>
    <w:p w:rsidR="00C2214E" w:rsidRDefault="00C2214E">
      <w:pPr>
        <w:pStyle w:val="underpoint"/>
      </w:pPr>
      <w:r>
        <w:t>…..</w:t>
      </w:r>
    </w:p>
    <w:p w:rsidR="00C2214E" w:rsidRDefault="00C2214E">
      <w:pPr>
        <w:pStyle w:val="underpoint"/>
      </w:pPr>
      <w:r>
        <w:t>1.4</w:t>
      </w:r>
      <w:proofErr w:type="gramStart"/>
      <w:r>
        <w:t>. приобретение</w:t>
      </w:r>
      <w:proofErr w:type="gramEnd"/>
      <w:r>
        <w:t xml:space="preserve"> хозяйствующим субъектом, занимающим доминирующее положение, лицами, входящими с таким хозяйствующим субъектом в одну группу лиц, в совокупности более двадцати пяти процентов голосующих акций (долей в уставном фонде) другого хозяйствующего субъекта, осуществляющего деятельность на том же товарном рынке;</w:t>
      </w:r>
    </w:p>
    <w:p w:rsidR="00C2214E" w:rsidRDefault="00C2214E">
      <w:pPr>
        <w:pStyle w:val="underpoint"/>
      </w:pPr>
      <w:r>
        <w:t>1.5. приобретение хозяйствующим субъектом или физическим лицом, не относящимся к хозяйствующим субъектам, лицами, входящими в одну группу лиц, в совокупности двадцати пяти и более процентов голосующих акций (долей в уставном фонде) хозяйствующего субъекта, занимающего доминирующее положение, а также иные сделки, в результате которых у таких хозяйствующего субъекта или физического лица, не относящегося к хозяйствующим субъектам, лиц, входящих в одну группу лиц, появляется возможность оказывать влияние на принятие решений хозяйствующим субъектом, занимающим доминирующее положение;</w:t>
      </w:r>
    </w:p>
    <w:p w:rsidR="00C2214E" w:rsidRDefault="00C2214E">
      <w:pPr>
        <w:pStyle w:val="underpoint"/>
      </w:pPr>
      <w:r>
        <w:t>1.6. приобретение хозяйствующим субъектом или физическим лицом, не относящимся к хозяйствующим субъектам, лицами, входящими в одну группу лиц, в том числе на основании договора доверительного управления имуществом, договора простого товарищества (договора о совместной деятельности) или договора поручения, голосующих акций (долей в уставном фонде) хозяйствующего субъекта, при котором такие хозяйствующий субъект или физическое лицо, не относящееся к хозяйствующим субъектам, лица, входящие в одну группу лиц, получают право распоряжаться в совокупности более чем двадцатью пятью процентами голосующих акций (долей в уставном фонде) хозяйствующего субъекта, при условии, что до этого приобретения они не распоряжались акциями (долями в уставном фонде) этого хозяйствующего субъекта или распоряжались не более чем двадцатью пятью процентами голосующих акций (долей в уставном фонде) этого хозяйствующего субъекта, а также если приобретение голосующих акций (долей в уставном фонде) хозяйствующего субъекта осуществляется хозяйствующим субъектом или физическим лицом, не относящимся к хозяйствующим субъектам, лицами, входящими в одну группу лиц, распоряжающимися не менее чем двадцатью пятью процентами и не более чем пятьюдесятью процентами голосующих акций (долей в уставном фонде) этого хозяйствующего субъекта, если такие хозяйствующий субъект или физическое лицо, не относящееся к хозяйствующим субъектам, лица, входящие в одну группу лиц, получают право распоряжаться более чем пятьюдесятью процентами таких акций (долей в уставном фонде);</w:t>
      </w:r>
      <w:bookmarkStart w:id="0" w:name="_GoBack"/>
      <w:bookmarkEnd w:id="0"/>
    </w:p>
    <w:sectPr w:rsidR="00C2214E" w:rsidSect="000F1A07">
      <w:headerReference w:type="even" r:id="rId6"/>
      <w:headerReference w:type="default" r:id="rId7"/>
      <w:footerReference w:type="first" r:id="rId8"/>
      <w:pgSz w:w="11906" w:h="16838"/>
      <w:pgMar w:top="426" w:right="849" w:bottom="1134" w:left="709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4E" w:rsidRDefault="00C2214E" w:rsidP="00C2214E">
      <w:pPr>
        <w:spacing w:after="0" w:line="240" w:lineRule="auto"/>
      </w:pPr>
      <w:r>
        <w:separator/>
      </w:r>
    </w:p>
  </w:endnote>
  <w:endnote w:type="continuationSeparator" w:id="0">
    <w:p w:rsidR="00C2214E" w:rsidRDefault="00C2214E" w:rsidP="00C22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Look w:val="04A0" w:firstRow="1" w:lastRow="0" w:firstColumn="1" w:lastColumn="0" w:noHBand="0" w:noVBand="1"/>
    </w:tblPr>
    <w:tblGrid>
      <w:gridCol w:w="3125"/>
      <w:gridCol w:w="3125"/>
      <w:gridCol w:w="3126"/>
    </w:tblGrid>
    <w:tr w:rsidR="00C2214E" w:rsidTr="00C2214E">
      <w:trPr>
        <w:trHeight w:val="400"/>
      </w:trPr>
      <w:tc>
        <w:tcPr>
          <w:tcW w:w="3125" w:type="dxa"/>
        </w:tcPr>
        <w:p w:rsidR="00C2214E" w:rsidRDefault="00C2214E">
          <w:pPr>
            <w:pStyle w:val="a5"/>
          </w:pPr>
        </w:p>
      </w:tc>
      <w:tc>
        <w:tcPr>
          <w:tcW w:w="3125" w:type="dxa"/>
        </w:tcPr>
        <w:p w:rsidR="00C2214E" w:rsidRPr="00C2214E" w:rsidRDefault="00C2214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3126" w:type="dxa"/>
        </w:tcPr>
        <w:p w:rsidR="00C2214E" w:rsidRPr="00C2214E" w:rsidRDefault="00C2214E" w:rsidP="00C2214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</w:p>
      </w:tc>
    </w:tr>
    <w:tr w:rsidR="00C2214E" w:rsidTr="00C2214E">
      <w:tc>
        <w:tcPr>
          <w:tcW w:w="3125" w:type="dxa"/>
        </w:tcPr>
        <w:p w:rsidR="00C2214E" w:rsidRDefault="00C2214E">
          <w:pPr>
            <w:pStyle w:val="a5"/>
          </w:pPr>
        </w:p>
      </w:tc>
      <w:tc>
        <w:tcPr>
          <w:tcW w:w="3125" w:type="dxa"/>
        </w:tcPr>
        <w:p w:rsidR="00C2214E" w:rsidRDefault="00C2214E">
          <w:pPr>
            <w:pStyle w:val="a5"/>
          </w:pPr>
        </w:p>
      </w:tc>
      <w:tc>
        <w:tcPr>
          <w:tcW w:w="3126" w:type="dxa"/>
        </w:tcPr>
        <w:p w:rsidR="00C2214E" w:rsidRDefault="00C2214E">
          <w:pPr>
            <w:pStyle w:val="a5"/>
          </w:pPr>
        </w:p>
      </w:tc>
    </w:tr>
  </w:tbl>
  <w:p w:rsidR="00C2214E" w:rsidRDefault="00C221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4E" w:rsidRDefault="00C2214E" w:rsidP="00C2214E">
      <w:pPr>
        <w:spacing w:after="0" w:line="240" w:lineRule="auto"/>
      </w:pPr>
      <w:r>
        <w:separator/>
      </w:r>
    </w:p>
  </w:footnote>
  <w:footnote w:type="continuationSeparator" w:id="0">
    <w:p w:rsidR="00C2214E" w:rsidRDefault="00C2214E" w:rsidP="00C22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E" w:rsidRDefault="00C2214E" w:rsidP="00BA59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214E" w:rsidRDefault="00C221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4E" w:rsidRPr="00C2214E" w:rsidRDefault="00C2214E" w:rsidP="00BA590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2214E">
      <w:rPr>
        <w:rStyle w:val="a7"/>
        <w:rFonts w:ascii="Times New Roman" w:hAnsi="Times New Roman" w:cs="Times New Roman"/>
        <w:sz w:val="24"/>
      </w:rPr>
      <w:fldChar w:fldCharType="begin"/>
    </w:r>
    <w:r w:rsidRPr="00C2214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2214E">
      <w:rPr>
        <w:rStyle w:val="a7"/>
        <w:rFonts w:ascii="Times New Roman" w:hAnsi="Times New Roman" w:cs="Times New Roman"/>
        <w:sz w:val="24"/>
      </w:rPr>
      <w:fldChar w:fldCharType="separate"/>
    </w:r>
    <w:r w:rsidR="00DE617C">
      <w:rPr>
        <w:rStyle w:val="a7"/>
        <w:rFonts w:ascii="Times New Roman" w:hAnsi="Times New Roman" w:cs="Times New Roman"/>
        <w:noProof/>
        <w:sz w:val="24"/>
      </w:rPr>
      <w:t>2</w:t>
    </w:r>
    <w:r w:rsidRPr="00C2214E">
      <w:rPr>
        <w:rStyle w:val="a7"/>
        <w:rFonts w:ascii="Times New Roman" w:hAnsi="Times New Roman" w:cs="Times New Roman"/>
        <w:sz w:val="24"/>
      </w:rPr>
      <w:fldChar w:fldCharType="end"/>
    </w:r>
  </w:p>
  <w:p w:rsidR="00C2214E" w:rsidRPr="00C2214E" w:rsidRDefault="00C2214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E"/>
    <w:rsid w:val="000F1A07"/>
    <w:rsid w:val="001271D0"/>
    <w:rsid w:val="001C1437"/>
    <w:rsid w:val="00386824"/>
    <w:rsid w:val="003957BA"/>
    <w:rsid w:val="00C2214E"/>
    <w:rsid w:val="00D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0596-6738-4FF0-881B-6454557D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2214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C2214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C2214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C221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221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C2214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C2214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2214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221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221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221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221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2214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221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2214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2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14E"/>
  </w:style>
  <w:style w:type="paragraph" w:styleId="a5">
    <w:name w:val="footer"/>
    <w:basedOn w:val="a"/>
    <w:link w:val="a6"/>
    <w:uiPriority w:val="99"/>
    <w:unhideWhenUsed/>
    <w:rsid w:val="00C2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14E"/>
  </w:style>
  <w:style w:type="character" w:styleId="a7">
    <w:name w:val="page number"/>
    <w:basedOn w:val="a0"/>
    <w:uiPriority w:val="99"/>
    <w:semiHidden/>
    <w:unhideWhenUsed/>
    <w:rsid w:val="00C2214E"/>
  </w:style>
  <w:style w:type="table" w:styleId="a8">
    <w:name w:val="Table Grid"/>
    <w:basedOn w:val="a1"/>
    <w:uiPriority w:val="39"/>
    <w:rsid w:val="00C2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2918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3</cp:revision>
  <cp:lastPrinted>2018-09-28T12:41:00Z</cp:lastPrinted>
  <dcterms:created xsi:type="dcterms:W3CDTF">2018-09-28T14:30:00Z</dcterms:created>
  <dcterms:modified xsi:type="dcterms:W3CDTF">2018-09-28T14:43:00Z</dcterms:modified>
</cp:coreProperties>
</file>